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87" w:rsidRPr="00BE1E88" w:rsidRDefault="00FE5487" w:rsidP="00FE5487">
      <w:pPr>
        <w:pStyle w:val="CM1"/>
        <w:ind w:left="-709" w:firstLine="709"/>
        <w:jc w:val="center"/>
        <w:rPr>
          <w:rFonts w:asciiTheme="minorHAnsi" w:hAnsiTheme="minorHAnsi" w:cs="AHIFOA+CalistoMT"/>
          <w:b/>
          <w:color w:val="000000"/>
          <w:sz w:val="22"/>
          <w:szCs w:val="22"/>
        </w:rPr>
      </w:pPr>
    </w:p>
    <w:p w:rsidR="00FE5487" w:rsidRPr="00BE1E88" w:rsidRDefault="00FE5487" w:rsidP="00FE5487">
      <w:pPr>
        <w:pStyle w:val="CM1"/>
        <w:ind w:left="-709" w:firstLine="709"/>
        <w:jc w:val="center"/>
        <w:rPr>
          <w:rFonts w:asciiTheme="minorHAnsi" w:hAnsiTheme="minorHAnsi" w:cs="AHIFOA+CalistoMT"/>
          <w:b/>
          <w:color w:val="000000"/>
          <w:sz w:val="32"/>
          <w:szCs w:val="22"/>
        </w:rPr>
      </w:pPr>
      <w:r w:rsidRPr="00BE1E88">
        <w:rPr>
          <w:rFonts w:asciiTheme="minorHAnsi" w:hAnsiTheme="minorHAnsi" w:cs="AHIFOA+CalistoMT"/>
          <w:b/>
          <w:color w:val="000000"/>
          <w:sz w:val="32"/>
          <w:szCs w:val="22"/>
        </w:rPr>
        <w:t>Soutenance de thèse</w:t>
      </w:r>
    </w:p>
    <w:p w:rsidR="00FE5487" w:rsidRPr="00BE1E88" w:rsidRDefault="00FE5487" w:rsidP="00FE5487">
      <w:pPr>
        <w:pStyle w:val="Default"/>
        <w:rPr>
          <w:rFonts w:asciiTheme="minorHAnsi" w:hAnsiTheme="minorHAnsi"/>
          <w:sz w:val="22"/>
          <w:szCs w:val="22"/>
        </w:rPr>
      </w:pPr>
    </w:p>
    <w:p w:rsidR="00FE5487" w:rsidRPr="00BE1E88" w:rsidRDefault="00FE5487" w:rsidP="00FE5487">
      <w:pPr>
        <w:pStyle w:val="CM1"/>
        <w:jc w:val="center"/>
        <w:rPr>
          <w:rFonts w:asciiTheme="minorHAnsi" w:hAnsiTheme="minorHAnsi" w:cs="AHIFOA+CalistoMT"/>
          <w:color w:val="000000"/>
          <w:szCs w:val="22"/>
        </w:rPr>
      </w:pPr>
      <w:r w:rsidRPr="00BE1E88">
        <w:rPr>
          <w:rFonts w:asciiTheme="minorHAnsi" w:hAnsiTheme="minorHAnsi" w:cs="AHIFOA+CalistoMT"/>
          <w:color w:val="000000"/>
          <w:szCs w:val="22"/>
        </w:rPr>
        <w:t>Vendredi 17 Avril 2015</w:t>
      </w:r>
    </w:p>
    <w:p w:rsidR="00FE5487" w:rsidRPr="00BE1E88" w:rsidRDefault="00FE5487" w:rsidP="00FE5487">
      <w:pPr>
        <w:pStyle w:val="CM1"/>
        <w:jc w:val="center"/>
        <w:rPr>
          <w:rFonts w:asciiTheme="minorHAnsi" w:hAnsiTheme="minorHAnsi" w:cs="AHIFOA+CalistoMT"/>
          <w:color w:val="000000"/>
          <w:szCs w:val="22"/>
        </w:rPr>
      </w:pPr>
      <w:r w:rsidRPr="00BE1E88">
        <w:rPr>
          <w:rFonts w:asciiTheme="minorHAnsi" w:hAnsiTheme="minorHAnsi"/>
          <w:szCs w:val="22"/>
        </w:rPr>
        <w:t xml:space="preserve">Amphi Gay Lussac - </w:t>
      </w:r>
      <w:r w:rsidRPr="00BE1E88">
        <w:rPr>
          <w:rFonts w:asciiTheme="minorHAnsi" w:hAnsiTheme="minorHAnsi" w:cs="AHIFOA+CalistoMT"/>
          <w:color w:val="000000"/>
          <w:szCs w:val="22"/>
        </w:rPr>
        <w:t>14h00</w:t>
      </w:r>
    </w:p>
    <w:p w:rsidR="00FE5487" w:rsidRPr="00BE1E88" w:rsidRDefault="00FE5487" w:rsidP="00FE5487">
      <w:pPr>
        <w:pStyle w:val="Default"/>
        <w:rPr>
          <w:rFonts w:asciiTheme="minorHAnsi" w:hAnsiTheme="minorHAnsi"/>
          <w:sz w:val="22"/>
          <w:szCs w:val="22"/>
        </w:rPr>
      </w:pPr>
    </w:p>
    <w:p w:rsidR="00FE5487" w:rsidRPr="00BE1E88" w:rsidRDefault="00FE5487" w:rsidP="00FE5487">
      <w:pPr>
        <w:pStyle w:val="Default"/>
        <w:jc w:val="center"/>
        <w:rPr>
          <w:rFonts w:asciiTheme="minorHAnsi" w:hAnsiTheme="minorHAnsi"/>
          <w:b/>
          <w:sz w:val="44"/>
          <w:szCs w:val="22"/>
        </w:rPr>
      </w:pPr>
      <w:r w:rsidRPr="00BE1E88">
        <w:rPr>
          <w:rFonts w:asciiTheme="minorHAnsi" w:hAnsiTheme="minorHAnsi"/>
          <w:b/>
          <w:sz w:val="44"/>
          <w:szCs w:val="22"/>
        </w:rPr>
        <w:t>Antoine JAY</w:t>
      </w:r>
    </w:p>
    <w:p w:rsidR="00FE5487" w:rsidRPr="00BE1E88" w:rsidRDefault="00FE5487" w:rsidP="00FE5487">
      <w:pPr>
        <w:pStyle w:val="Default"/>
        <w:jc w:val="center"/>
        <w:rPr>
          <w:rFonts w:asciiTheme="minorHAnsi" w:hAnsiTheme="minorHAnsi"/>
          <w:b/>
          <w:sz w:val="22"/>
          <w:szCs w:val="22"/>
        </w:rPr>
      </w:pPr>
    </w:p>
    <w:p w:rsidR="00FE5487" w:rsidRPr="00BE1E88" w:rsidRDefault="00FE5487" w:rsidP="00FE5487">
      <w:pPr>
        <w:pStyle w:val="Textebrut"/>
        <w:jc w:val="center"/>
        <w:rPr>
          <w:rFonts w:asciiTheme="minorHAnsi" w:hAnsiTheme="minorHAnsi"/>
          <w:b/>
          <w:sz w:val="28"/>
          <w:szCs w:val="22"/>
        </w:rPr>
      </w:pPr>
      <w:r w:rsidRPr="00BE1E88">
        <w:rPr>
          <w:rFonts w:asciiTheme="minorHAnsi" w:hAnsiTheme="minorHAnsi"/>
          <w:b/>
          <w:sz w:val="28"/>
          <w:szCs w:val="22"/>
        </w:rPr>
        <w:t>Conception in silico d’une nouvelle phase de carbure de bore</w:t>
      </w:r>
    </w:p>
    <w:p w:rsidR="00FE5487" w:rsidRPr="00BE1E88" w:rsidRDefault="00FE5487" w:rsidP="00FE5487">
      <w:pPr>
        <w:pStyle w:val="Default"/>
        <w:jc w:val="center"/>
        <w:rPr>
          <w:rFonts w:asciiTheme="minorHAnsi" w:hAnsiTheme="minorHAnsi"/>
          <w:b/>
          <w:sz w:val="22"/>
          <w:szCs w:val="22"/>
        </w:rPr>
      </w:pP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 xml:space="preserve">Le but de ce travail est de renforcer le carbure de bore à 20% d’atomes de carbone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4</w:t>
      </w:r>
      <w:r w:rsidR="00712172" w:rsidRPr="00BE1E88">
        <w:rPr>
          <w:rFonts w:asciiTheme="minorHAnsi" w:hAnsiTheme="minorHAnsi"/>
          <w:sz w:val="22"/>
          <w:szCs w:val="22"/>
        </w:rPr>
        <w:t>C</w:t>
      </w:r>
      <w:r w:rsidRPr="00BE1E88">
        <w:rPr>
          <w:rFonts w:asciiTheme="minorHAnsi" w:hAnsiTheme="minorHAnsi"/>
          <w:sz w:val="22"/>
          <w:szCs w:val="22"/>
        </w:rPr>
        <w:t xml:space="preserve"> pour son utilisation pour le blindage. Cette thèse a été consacrée à l’étude théorique d’une nouvelle phase de carbure de bore à l’aide des méthodes ab </w:t>
      </w:r>
      <w:proofErr w:type="spellStart"/>
      <w:r w:rsidRPr="00BE1E88">
        <w:rPr>
          <w:rFonts w:asciiTheme="minorHAnsi" w:hAnsiTheme="minorHAnsi"/>
          <w:sz w:val="22"/>
          <w:szCs w:val="22"/>
        </w:rPr>
        <w:t>initio</w:t>
      </w:r>
      <w:proofErr w:type="spellEnd"/>
      <w:r w:rsidRPr="00BE1E88">
        <w:rPr>
          <w:rFonts w:asciiTheme="minorHAnsi" w:hAnsiTheme="minorHAnsi"/>
          <w:sz w:val="22"/>
          <w:szCs w:val="22"/>
        </w:rPr>
        <w:t xml:space="preserve"> basées sur la théorie de la fonctionnelle de la densité (DFT), en utilisant l’approximation de la densité locale (LDA) et du gradient généralisé (GGA). </w:t>
      </w: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 xml:space="preserve">Les méthodes employées ont tout d’abord été validées en comparant les résultats calculés aux résultats expérimentaux sur le carbure de bore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4</w:t>
      </w:r>
      <w:r w:rsidR="00712172" w:rsidRPr="00BE1E88">
        <w:rPr>
          <w:rFonts w:asciiTheme="minorHAnsi" w:hAnsiTheme="minorHAnsi"/>
          <w:sz w:val="22"/>
          <w:szCs w:val="22"/>
        </w:rPr>
        <w:t>C</w:t>
      </w:r>
      <w:r w:rsidRPr="00BE1E88">
        <w:rPr>
          <w:rFonts w:asciiTheme="minorHAnsi" w:hAnsiTheme="minorHAnsi"/>
          <w:sz w:val="22"/>
          <w:szCs w:val="22"/>
        </w:rPr>
        <w:t xml:space="preserve">. Elles ont ensuite été utilisées pour concevoir de nouveaux matériaux. L’idée a été de renforcer les chaînes C-B-C par rapport à la formation de lacunes. Dans le nouveau matériau,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11</w:t>
      </w:r>
      <w:r w:rsidR="00712172" w:rsidRPr="00BE1E88">
        <w:rPr>
          <w:rFonts w:asciiTheme="minorHAnsi" w:hAnsiTheme="minorHAnsi"/>
          <w:sz w:val="22"/>
          <w:szCs w:val="22"/>
        </w:rPr>
        <w:t>C</w:t>
      </w:r>
      <w:r w:rsidR="00712172" w:rsidRPr="00712172">
        <w:rPr>
          <w:rFonts w:asciiTheme="minorHAnsi" w:hAnsiTheme="minorHAnsi"/>
          <w:sz w:val="22"/>
          <w:szCs w:val="22"/>
          <w:vertAlign w:val="subscript"/>
        </w:rPr>
        <w:t>p</w:t>
      </w:r>
      <w:proofErr w:type="gramStart"/>
      <w:r w:rsidR="00712172" w:rsidRPr="00BE1E88">
        <w:rPr>
          <w:rFonts w:asciiTheme="minorHAnsi" w:hAnsiTheme="minorHAnsi"/>
          <w:sz w:val="22"/>
          <w:szCs w:val="22"/>
        </w:rPr>
        <w:t>)C</w:t>
      </w:r>
      <w:proofErr w:type="gramEnd"/>
      <w:r w:rsidR="00712172" w:rsidRPr="00BE1E88">
        <w:rPr>
          <w:rFonts w:asciiTheme="minorHAnsi" w:hAnsiTheme="minorHAnsi"/>
          <w:sz w:val="22"/>
          <w:szCs w:val="22"/>
        </w:rPr>
        <w:t>-C</w:t>
      </w:r>
      <w:r w:rsidRPr="00BE1E88">
        <w:rPr>
          <w:rFonts w:asciiTheme="minorHAnsi" w:hAnsiTheme="minorHAnsi"/>
          <w:sz w:val="22"/>
          <w:szCs w:val="22"/>
        </w:rPr>
        <w:t>, les chaînes sont C-C. En me basant sur le modèle ionique de Wade, j’ai aussi trouvé qu’augmenter la concentration en carbone sur l’icosaèdre, (B</w:t>
      </w:r>
      <w:r w:rsidRPr="00712172">
        <w:rPr>
          <w:rFonts w:asciiTheme="minorHAnsi" w:hAnsiTheme="minorHAnsi"/>
          <w:sz w:val="22"/>
          <w:szCs w:val="22"/>
          <w:vertAlign w:val="subscript"/>
        </w:rPr>
        <w:t>10</w:t>
      </w:r>
      <w:r w:rsidRPr="00BE1E88">
        <w:rPr>
          <w:rFonts w:asciiTheme="minorHAnsi" w:hAnsiTheme="minorHAnsi"/>
          <w:sz w:val="22"/>
          <w:szCs w:val="22"/>
        </w:rPr>
        <w:t>C</w:t>
      </w:r>
      <w:r w:rsidRPr="00712172">
        <w:rPr>
          <w:rFonts w:asciiTheme="minorHAnsi" w:hAnsiTheme="minorHAnsi"/>
          <w:sz w:val="22"/>
          <w:szCs w:val="22"/>
          <w:vertAlign w:val="subscript"/>
        </w:rPr>
        <w:t>2</w:t>
      </w:r>
      <w:proofErr w:type="gramStart"/>
      <w:r w:rsidRPr="00BE1E88">
        <w:rPr>
          <w:rFonts w:asciiTheme="minorHAnsi" w:hAnsiTheme="minorHAnsi"/>
          <w:sz w:val="22"/>
          <w:szCs w:val="22"/>
        </w:rPr>
        <w:t>)C</w:t>
      </w:r>
      <w:proofErr w:type="gramEnd"/>
      <w:r w:rsidRPr="00BE1E88">
        <w:rPr>
          <w:rFonts w:asciiTheme="minorHAnsi" w:hAnsiTheme="minorHAnsi"/>
          <w:sz w:val="22"/>
          <w:szCs w:val="22"/>
        </w:rPr>
        <w:t>-C, forme une deuxième phase métastable. La concentration obtenue (28% en atomes de carbone) sort toutefois du domaine connu d’existence des phases icosaédriques.</w:t>
      </w: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Une fois les structures conçues, la deuxième étape a été de vérifier leur (méta</w:t>
      </w:r>
      <w:proofErr w:type="gramStart"/>
      <w:r w:rsidRPr="00BE1E88">
        <w:rPr>
          <w:rFonts w:asciiTheme="minorHAnsi" w:hAnsiTheme="minorHAnsi"/>
          <w:sz w:val="22"/>
          <w:szCs w:val="22"/>
        </w:rPr>
        <w:t>)stabilité</w:t>
      </w:r>
      <w:proofErr w:type="gramEnd"/>
      <w:r w:rsidRPr="00BE1E88">
        <w:rPr>
          <w:rFonts w:asciiTheme="minorHAnsi" w:hAnsiTheme="minorHAnsi"/>
          <w:sz w:val="22"/>
          <w:szCs w:val="22"/>
        </w:rPr>
        <w:t>. Cela a nécessité le calcul de leurs énergies de formation, de leurs constantes élastiques et des courbes de dispersion des phonons. La troisième étape a été de vérifier le renforcement mécanique.</w:t>
      </w: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Pour cela, j’ai démontré que ces matériaux sont moins sujets à la formation de lacunes, et que les lacunes qui peuvent se former ne subissent pas de réduction discontinue de volume sous pression hydrostatique contrairement à ce qu’il se passe pour B</w:t>
      </w:r>
      <w:r w:rsidRPr="00712172">
        <w:rPr>
          <w:rFonts w:asciiTheme="minorHAnsi" w:hAnsiTheme="minorHAnsi"/>
          <w:sz w:val="22"/>
          <w:szCs w:val="22"/>
          <w:vertAlign w:val="subscript"/>
        </w:rPr>
        <w:t>4</w:t>
      </w:r>
      <w:r w:rsidRPr="00BE1E88">
        <w:rPr>
          <w:rFonts w:asciiTheme="minorHAnsi" w:hAnsiTheme="minorHAnsi"/>
          <w:sz w:val="22"/>
          <w:szCs w:val="22"/>
        </w:rPr>
        <w:t xml:space="preserve">C. De plus, les propriétés élastiques calculées ont montré une augmentation du module d’incompressibilité, du module de Young et du module de cisaillement. J’ai montré que différentes méthodes peuvent permettre de différencier les matériaux à chaînes C-C, et plus particulièrement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11</w:t>
      </w:r>
      <w:r w:rsidR="00712172" w:rsidRPr="00BE1E88">
        <w:rPr>
          <w:rFonts w:asciiTheme="minorHAnsi" w:hAnsiTheme="minorHAnsi"/>
          <w:sz w:val="22"/>
          <w:szCs w:val="22"/>
        </w:rPr>
        <w:t>C</w:t>
      </w:r>
      <w:r w:rsidR="00712172" w:rsidRPr="00712172">
        <w:rPr>
          <w:rFonts w:asciiTheme="minorHAnsi" w:hAnsiTheme="minorHAnsi"/>
          <w:sz w:val="22"/>
          <w:szCs w:val="22"/>
          <w:vertAlign w:val="subscript"/>
        </w:rPr>
        <w:t>p</w:t>
      </w:r>
      <w:proofErr w:type="gramStart"/>
      <w:r w:rsidR="00712172" w:rsidRPr="00BE1E88">
        <w:rPr>
          <w:rFonts w:asciiTheme="minorHAnsi" w:hAnsiTheme="minorHAnsi"/>
          <w:sz w:val="22"/>
          <w:szCs w:val="22"/>
        </w:rPr>
        <w:t>)C</w:t>
      </w:r>
      <w:proofErr w:type="gramEnd"/>
      <w:r w:rsidR="00712172" w:rsidRPr="00BE1E88">
        <w:rPr>
          <w:rFonts w:asciiTheme="minorHAnsi" w:hAnsiTheme="minorHAnsi"/>
          <w:sz w:val="22"/>
          <w:szCs w:val="22"/>
        </w:rPr>
        <w:t>-C</w:t>
      </w:r>
      <w:r w:rsidRPr="00BE1E88">
        <w:rPr>
          <w:rFonts w:asciiTheme="minorHAnsi" w:hAnsiTheme="minorHAnsi"/>
          <w:sz w:val="22"/>
          <w:szCs w:val="22"/>
        </w:rPr>
        <w:t>, de B4 C.</w:t>
      </w: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Ces méthodes sont la diffraction des rayons X et la spectroscopie vibrationnelle Raman et infrarouge.</w:t>
      </w:r>
    </w:p>
    <w:p w:rsidR="00FE5487" w:rsidRPr="00BE1E88" w:rsidRDefault="00FE5487" w:rsidP="00BE1E88">
      <w:pPr>
        <w:pStyle w:val="Textebrut"/>
        <w:spacing w:before="120" w:after="120"/>
        <w:jc w:val="both"/>
        <w:rPr>
          <w:rFonts w:asciiTheme="minorHAnsi" w:hAnsiTheme="minorHAnsi"/>
          <w:sz w:val="22"/>
          <w:szCs w:val="22"/>
        </w:rPr>
      </w:pPr>
      <w:r w:rsidRPr="00BE1E88">
        <w:rPr>
          <w:rFonts w:asciiTheme="minorHAnsi" w:hAnsiTheme="minorHAnsi"/>
          <w:sz w:val="22"/>
          <w:szCs w:val="22"/>
        </w:rPr>
        <w:t xml:space="preserve">En particulier, j’ai identifié tous les modes propres de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11</w:t>
      </w:r>
      <w:r w:rsidR="00712172" w:rsidRPr="00BE1E88">
        <w:rPr>
          <w:rFonts w:asciiTheme="minorHAnsi" w:hAnsiTheme="minorHAnsi"/>
          <w:sz w:val="22"/>
          <w:szCs w:val="22"/>
        </w:rPr>
        <w:t>C</w:t>
      </w:r>
      <w:r w:rsidR="00712172" w:rsidRPr="00712172">
        <w:rPr>
          <w:rFonts w:asciiTheme="minorHAnsi" w:hAnsiTheme="minorHAnsi"/>
          <w:sz w:val="22"/>
          <w:szCs w:val="22"/>
          <w:vertAlign w:val="subscript"/>
        </w:rPr>
        <w:t>p</w:t>
      </w:r>
      <w:r w:rsidR="00712172" w:rsidRPr="00BE1E88">
        <w:rPr>
          <w:rFonts w:asciiTheme="minorHAnsi" w:hAnsiTheme="minorHAnsi"/>
          <w:sz w:val="22"/>
          <w:szCs w:val="22"/>
        </w:rPr>
        <w:t>)C-C</w:t>
      </w:r>
      <w:r w:rsidR="00712172" w:rsidRPr="00BE1E88">
        <w:rPr>
          <w:rFonts w:asciiTheme="minorHAnsi" w:hAnsiTheme="minorHAnsi"/>
          <w:sz w:val="22"/>
          <w:szCs w:val="22"/>
        </w:rPr>
        <w:t xml:space="preserve"> </w:t>
      </w:r>
      <w:r w:rsidRPr="00BE1E88">
        <w:rPr>
          <w:rFonts w:asciiTheme="minorHAnsi" w:hAnsiTheme="minorHAnsi"/>
          <w:sz w:val="22"/>
          <w:szCs w:val="22"/>
        </w:rPr>
        <w:t xml:space="preserve">en projetant leurs vecteurs propres sur ceux de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4</w:t>
      </w:r>
      <w:r w:rsidR="00712172" w:rsidRPr="00BE1E88">
        <w:rPr>
          <w:rFonts w:asciiTheme="minorHAnsi" w:hAnsiTheme="minorHAnsi"/>
          <w:sz w:val="22"/>
          <w:szCs w:val="22"/>
        </w:rPr>
        <w:t>C</w:t>
      </w:r>
      <w:r w:rsidR="00712172" w:rsidRPr="00BE1E88">
        <w:rPr>
          <w:rFonts w:asciiTheme="minorHAnsi" w:hAnsiTheme="minorHAnsi"/>
          <w:sz w:val="22"/>
          <w:szCs w:val="22"/>
        </w:rPr>
        <w:t xml:space="preserve"> </w:t>
      </w:r>
      <w:bookmarkStart w:id="0" w:name="_GoBack"/>
      <w:bookmarkEnd w:id="0"/>
      <w:r w:rsidRPr="00BE1E88">
        <w:rPr>
          <w:rFonts w:asciiTheme="minorHAnsi" w:hAnsiTheme="minorHAnsi"/>
          <w:sz w:val="22"/>
          <w:szCs w:val="22"/>
        </w:rPr>
        <w:t xml:space="preserve">et j’ai calculé leur spectre de diffusion Raman en moyenne </w:t>
      </w:r>
      <w:proofErr w:type="spellStart"/>
      <w:r w:rsidRPr="00BE1E88">
        <w:rPr>
          <w:rFonts w:asciiTheme="minorHAnsi" w:hAnsiTheme="minorHAnsi"/>
          <w:sz w:val="22"/>
          <w:szCs w:val="22"/>
        </w:rPr>
        <w:t>polycristalline</w:t>
      </w:r>
      <w:proofErr w:type="spellEnd"/>
      <w:r w:rsidRPr="00BE1E88">
        <w:rPr>
          <w:rFonts w:asciiTheme="minorHAnsi" w:hAnsiTheme="minorHAnsi"/>
          <w:sz w:val="22"/>
          <w:szCs w:val="22"/>
        </w:rPr>
        <w:t xml:space="preserve">. J’ai aussi étudié le spectre Raman de </w:t>
      </w:r>
      <w:r w:rsidR="00712172" w:rsidRPr="00BE1E88">
        <w:rPr>
          <w:rFonts w:asciiTheme="minorHAnsi" w:hAnsiTheme="minorHAnsi"/>
          <w:sz w:val="22"/>
          <w:szCs w:val="22"/>
        </w:rPr>
        <w:t>B</w:t>
      </w:r>
      <w:r w:rsidR="00712172" w:rsidRPr="00712172">
        <w:rPr>
          <w:rFonts w:asciiTheme="minorHAnsi" w:hAnsiTheme="minorHAnsi"/>
          <w:sz w:val="22"/>
          <w:szCs w:val="22"/>
          <w:vertAlign w:val="subscript"/>
        </w:rPr>
        <w:t>4</w:t>
      </w:r>
      <w:r w:rsidR="00712172" w:rsidRPr="00BE1E88">
        <w:rPr>
          <w:rFonts w:asciiTheme="minorHAnsi" w:hAnsiTheme="minorHAnsi"/>
          <w:sz w:val="22"/>
          <w:szCs w:val="22"/>
        </w:rPr>
        <w:t>C</w:t>
      </w:r>
      <w:r w:rsidR="00712172" w:rsidRPr="00BE1E88">
        <w:rPr>
          <w:rFonts w:asciiTheme="minorHAnsi" w:hAnsiTheme="minorHAnsi"/>
          <w:sz w:val="22"/>
          <w:szCs w:val="22"/>
        </w:rPr>
        <w:t xml:space="preserve"> </w:t>
      </w:r>
      <w:r w:rsidRPr="00BE1E88">
        <w:rPr>
          <w:rFonts w:asciiTheme="minorHAnsi" w:hAnsiTheme="minorHAnsi"/>
          <w:sz w:val="22"/>
          <w:szCs w:val="22"/>
        </w:rPr>
        <w:t>sous pression et les résultats sont en excellent accord avec l’expérience. Cela m’a permis de valider les identifications des modes réalisées à pression ambiante et de comprendre la différence entre le calcul en symétrie monoclinique et l’expérience en moyenne rhomboédrique.</w:t>
      </w:r>
    </w:p>
    <w:p w:rsidR="00FE5487" w:rsidRPr="00BE1E88" w:rsidRDefault="00FE5487" w:rsidP="00BE1E88">
      <w:pPr>
        <w:pStyle w:val="Textebrut"/>
        <w:spacing w:before="120" w:after="120"/>
        <w:jc w:val="both"/>
        <w:rPr>
          <w:rFonts w:asciiTheme="minorHAnsi" w:eastAsiaTheme="minorEastAsia" w:hAnsiTheme="minorHAnsi" w:cs="AHIFOA+CalistoMT"/>
          <w:color w:val="000000"/>
          <w:sz w:val="22"/>
          <w:szCs w:val="22"/>
          <w:u w:val="single"/>
          <w:lang w:eastAsia="fr-FR"/>
        </w:rPr>
      </w:pPr>
      <w:r w:rsidRPr="00BE1E88">
        <w:rPr>
          <w:rFonts w:asciiTheme="minorHAnsi" w:hAnsiTheme="minorHAnsi"/>
          <w:sz w:val="22"/>
          <w:szCs w:val="22"/>
        </w:rPr>
        <w:t>Dans le but de proposer une méthode de synthèse, j’ai ensuite étudié la transition de phase pouvant se produire sous pression entre le matériau (B</w:t>
      </w:r>
      <w:r w:rsidRPr="00712172">
        <w:rPr>
          <w:rFonts w:asciiTheme="minorHAnsi" w:hAnsiTheme="minorHAnsi"/>
          <w:sz w:val="22"/>
          <w:szCs w:val="22"/>
          <w:vertAlign w:val="subscript"/>
        </w:rPr>
        <w:t>11</w:t>
      </w:r>
      <w:r w:rsidRPr="00BE1E88">
        <w:rPr>
          <w:rFonts w:asciiTheme="minorHAnsi" w:hAnsiTheme="minorHAnsi"/>
          <w:sz w:val="22"/>
          <w:szCs w:val="22"/>
        </w:rPr>
        <w:t>C</w:t>
      </w:r>
      <w:r w:rsidRPr="00712172">
        <w:rPr>
          <w:rFonts w:asciiTheme="minorHAnsi" w:hAnsiTheme="minorHAnsi"/>
          <w:sz w:val="22"/>
          <w:szCs w:val="22"/>
          <w:vertAlign w:val="subscript"/>
        </w:rPr>
        <w:t>p</w:t>
      </w:r>
      <w:proofErr w:type="gramStart"/>
      <w:r w:rsidRPr="00BE1E88">
        <w:rPr>
          <w:rFonts w:asciiTheme="minorHAnsi" w:hAnsiTheme="minorHAnsi"/>
          <w:sz w:val="22"/>
          <w:szCs w:val="22"/>
        </w:rPr>
        <w:t>)CVC</w:t>
      </w:r>
      <w:proofErr w:type="gramEnd"/>
      <w:r w:rsidRPr="00BE1E88">
        <w:rPr>
          <w:rFonts w:asciiTheme="minorHAnsi" w:hAnsiTheme="minorHAnsi"/>
          <w:sz w:val="22"/>
          <w:szCs w:val="22"/>
        </w:rPr>
        <w:t xml:space="preserve"> (V représente une lacune) et le matériau (B</w:t>
      </w:r>
      <w:r w:rsidRPr="00712172">
        <w:rPr>
          <w:rFonts w:asciiTheme="minorHAnsi" w:hAnsiTheme="minorHAnsi"/>
          <w:sz w:val="22"/>
          <w:szCs w:val="22"/>
          <w:vertAlign w:val="subscript"/>
        </w:rPr>
        <w:t>11</w:t>
      </w:r>
      <w:r w:rsidRPr="00BE1E88">
        <w:rPr>
          <w:rFonts w:asciiTheme="minorHAnsi" w:hAnsiTheme="minorHAnsi"/>
          <w:sz w:val="22"/>
          <w:szCs w:val="22"/>
        </w:rPr>
        <w:t>C</w:t>
      </w:r>
      <w:r w:rsidRPr="00712172">
        <w:rPr>
          <w:rFonts w:asciiTheme="minorHAnsi" w:hAnsiTheme="minorHAnsi"/>
          <w:sz w:val="22"/>
          <w:szCs w:val="22"/>
          <w:vertAlign w:val="subscript"/>
        </w:rPr>
        <w:t>p</w:t>
      </w:r>
      <w:r w:rsidRPr="00BE1E88">
        <w:rPr>
          <w:rFonts w:asciiTheme="minorHAnsi" w:hAnsiTheme="minorHAnsi"/>
          <w:sz w:val="22"/>
          <w:szCs w:val="22"/>
        </w:rPr>
        <w:t>)C-C. Une méthode de synthèse a été élaborée dans le but de réaliser ce matériau.</w:t>
      </w:r>
      <w:r w:rsidR="00712172">
        <w:rPr>
          <w:rFonts w:asciiTheme="minorHAnsi" w:hAnsiTheme="minorHAnsi"/>
          <w:sz w:val="22"/>
          <w:szCs w:val="22"/>
        </w:rPr>
        <w:t xml:space="preserve"> </w:t>
      </w:r>
      <w:r w:rsidRPr="00BE1E88">
        <w:rPr>
          <w:rFonts w:asciiTheme="minorHAnsi" w:hAnsiTheme="minorHAnsi"/>
          <w:sz w:val="22"/>
          <w:szCs w:val="22"/>
        </w:rPr>
        <w:t>Cette méthode est une magnésiothermie sous haute pression.</w:t>
      </w:r>
      <w:r w:rsidRPr="00BE1E88">
        <w:rPr>
          <w:rFonts w:asciiTheme="minorHAnsi" w:hAnsiTheme="minorHAnsi" w:cs="AHIFOA+CalistoMT"/>
          <w:color w:val="000000"/>
          <w:sz w:val="22"/>
          <w:szCs w:val="22"/>
          <w:u w:val="single"/>
        </w:rPr>
        <w:br w:type="page"/>
      </w:r>
    </w:p>
    <w:p w:rsidR="00FE5487" w:rsidRPr="00BE1E88" w:rsidRDefault="00FE5487" w:rsidP="00FE5487">
      <w:pPr>
        <w:pStyle w:val="Textebrut"/>
        <w:jc w:val="both"/>
        <w:rPr>
          <w:rFonts w:asciiTheme="minorHAnsi" w:hAnsiTheme="minorHAnsi"/>
          <w:sz w:val="22"/>
          <w:szCs w:val="22"/>
        </w:rPr>
      </w:pPr>
    </w:p>
    <w:p w:rsidR="00FE5487" w:rsidRPr="00BE1E88" w:rsidRDefault="00FE5487" w:rsidP="00FE5487">
      <w:pPr>
        <w:pStyle w:val="Textebrut"/>
        <w:jc w:val="center"/>
        <w:rPr>
          <w:rFonts w:asciiTheme="minorHAnsi" w:hAnsiTheme="minorHAnsi"/>
          <w:b/>
          <w:sz w:val="28"/>
          <w:szCs w:val="28"/>
          <w:lang w:val="en-US"/>
        </w:rPr>
      </w:pPr>
      <w:r w:rsidRPr="00BE1E88">
        <w:rPr>
          <w:rFonts w:asciiTheme="minorHAnsi" w:hAnsiTheme="minorHAnsi"/>
          <w:b/>
          <w:sz w:val="28"/>
          <w:szCs w:val="28"/>
          <w:lang w:val="en-US"/>
        </w:rPr>
        <w:t xml:space="preserve">In </w:t>
      </w:r>
      <w:proofErr w:type="spellStart"/>
      <w:r w:rsidRPr="00BE1E88">
        <w:rPr>
          <w:rFonts w:asciiTheme="minorHAnsi" w:hAnsiTheme="minorHAnsi"/>
          <w:b/>
          <w:sz w:val="28"/>
          <w:szCs w:val="28"/>
          <w:lang w:val="en-US"/>
        </w:rPr>
        <w:t>silico</w:t>
      </w:r>
      <w:proofErr w:type="spellEnd"/>
      <w:r w:rsidRPr="00BE1E88">
        <w:rPr>
          <w:rFonts w:asciiTheme="minorHAnsi" w:hAnsiTheme="minorHAnsi"/>
          <w:b/>
          <w:sz w:val="28"/>
          <w:szCs w:val="28"/>
          <w:lang w:val="en-US"/>
        </w:rPr>
        <w:t xml:space="preserve"> design of a new boron carbide phase</w:t>
      </w:r>
    </w:p>
    <w:p w:rsidR="00FE5487" w:rsidRPr="00BE1E88" w:rsidRDefault="00FE5487" w:rsidP="00FE5487">
      <w:pPr>
        <w:pStyle w:val="Textebrut"/>
        <w:jc w:val="both"/>
        <w:rPr>
          <w:rFonts w:asciiTheme="minorHAnsi" w:hAnsiTheme="minorHAnsi"/>
          <w:sz w:val="22"/>
          <w:szCs w:val="22"/>
          <w:lang w:val="en-US"/>
        </w:rPr>
      </w:pPr>
    </w:p>
    <w:p w:rsidR="00FE5487" w:rsidRPr="00BE1E88" w:rsidRDefault="00FE5487" w:rsidP="00FE5487">
      <w:pPr>
        <w:pStyle w:val="Textebrut"/>
        <w:jc w:val="both"/>
        <w:rPr>
          <w:rFonts w:asciiTheme="minorHAnsi" w:hAnsiTheme="minorHAnsi"/>
          <w:sz w:val="22"/>
          <w:szCs w:val="22"/>
          <w:lang w:val="en-US"/>
        </w:rPr>
      </w:pPr>
    </w:p>
    <w:p w:rsidR="00FE5487" w:rsidRPr="00BE1E88" w:rsidRDefault="00FE5487" w:rsidP="00BE1E88">
      <w:pPr>
        <w:pStyle w:val="Textebrut"/>
        <w:spacing w:before="120" w:after="120"/>
        <w:jc w:val="both"/>
        <w:rPr>
          <w:rFonts w:asciiTheme="minorHAnsi" w:hAnsiTheme="minorHAnsi"/>
          <w:sz w:val="22"/>
          <w:szCs w:val="22"/>
          <w:lang w:val="en-US"/>
        </w:rPr>
      </w:pPr>
      <w:r w:rsidRPr="00BE1E88">
        <w:rPr>
          <w:rFonts w:asciiTheme="minorHAnsi" w:hAnsiTheme="minorHAnsi"/>
          <w:sz w:val="22"/>
          <w:szCs w:val="22"/>
          <w:lang w:val="en-US"/>
        </w:rPr>
        <w:t>The goal of this work is to reinforce the boron carbide B</w:t>
      </w:r>
      <w:r w:rsidRPr="00BE1E88">
        <w:rPr>
          <w:rFonts w:asciiTheme="minorHAnsi" w:hAnsiTheme="minorHAnsi"/>
          <w:sz w:val="22"/>
          <w:szCs w:val="22"/>
          <w:vertAlign w:val="subscript"/>
          <w:lang w:val="en-US"/>
        </w:rPr>
        <w:t>4</w:t>
      </w:r>
      <w:r w:rsidRPr="00BE1E88">
        <w:rPr>
          <w:rFonts w:asciiTheme="minorHAnsi" w:hAnsiTheme="minorHAnsi"/>
          <w:sz w:val="22"/>
          <w:szCs w:val="22"/>
          <w:lang w:val="en-US"/>
        </w:rPr>
        <w:t>C in its use for shielding. This thesis has been devoted to the theoretical study of new boron carbides using ab initio methods based on the density functional theory (DFT) using the local density approximation (LDA) and generalized gradient approximation (GGA). These have first been validated by comparing the calculated results with the experimental data on the boron carbide B4 C. They were then used to design new materials.</w:t>
      </w:r>
    </w:p>
    <w:p w:rsidR="00FE5487" w:rsidRPr="00BE1E88" w:rsidRDefault="00FE5487" w:rsidP="00BE1E88">
      <w:pPr>
        <w:pStyle w:val="Textebrut"/>
        <w:spacing w:before="120" w:after="120"/>
        <w:jc w:val="both"/>
        <w:rPr>
          <w:rFonts w:asciiTheme="minorHAnsi" w:hAnsiTheme="minorHAnsi"/>
          <w:sz w:val="22"/>
          <w:szCs w:val="22"/>
          <w:lang w:val="en-US"/>
        </w:rPr>
      </w:pPr>
      <w:r w:rsidRPr="00BE1E88">
        <w:rPr>
          <w:rFonts w:asciiTheme="minorHAnsi" w:hAnsiTheme="minorHAnsi"/>
          <w:sz w:val="22"/>
          <w:szCs w:val="22"/>
          <w:lang w:val="en-US"/>
        </w:rPr>
        <w:t>The idea was to reinforce C-B-C chains with respect to vacancies formation. In the new material, (B</w:t>
      </w:r>
      <w:r w:rsidRPr="00BE1E88">
        <w:rPr>
          <w:rFonts w:asciiTheme="minorHAnsi" w:hAnsiTheme="minorHAnsi"/>
          <w:sz w:val="22"/>
          <w:szCs w:val="22"/>
          <w:vertAlign w:val="subscript"/>
          <w:lang w:val="en-US"/>
        </w:rPr>
        <w:t>11</w:t>
      </w:r>
      <w:r w:rsidRPr="00BE1E88">
        <w:rPr>
          <w:rFonts w:asciiTheme="minorHAnsi" w:hAnsiTheme="minorHAnsi"/>
          <w:sz w:val="22"/>
          <w:szCs w:val="22"/>
          <w:lang w:val="en-US"/>
        </w:rPr>
        <w:t xml:space="preserve"> </w:t>
      </w:r>
      <w:proofErr w:type="spellStart"/>
      <w:r w:rsidRPr="00BE1E88">
        <w:rPr>
          <w:rFonts w:asciiTheme="minorHAnsi" w:hAnsiTheme="minorHAnsi"/>
          <w:sz w:val="22"/>
          <w:szCs w:val="22"/>
          <w:lang w:val="en-US"/>
        </w:rPr>
        <w:t>C</w:t>
      </w:r>
      <w:r w:rsidRPr="00BE1E88">
        <w:rPr>
          <w:rFonts w:asciiTheme="minorHAnsi" w:hAnsiTheme="minorHAnsi"/>
          <w:sz w:val="22"/>
          <w:szCs w:val="22"/>
          <w:vertAlign w:val="subscript"/>
          <w:lang w:val="en-US"/>
        </w:rPr>
        <w:t>p</w:t>
      </w:r>
      <w:proofErr w:type="spellEnd"/>
      <w:proofErr w:type="gramStart"/>
      <w:r w:rsidRPr="00BE1E88">
        <w:rPr>
          <w:rFonts w:asciiTheme="minorHAnsi" w:hAnsiTheme="minorHAnsi"/>
          <w:sz w:val="22"/>
          <w:szCs w:val="22"/>
          <w:lang w:val="en-US"/>
        </w:rPr>
        <w:t>)C</w:t>
      </w:r>
      <w:proofErr w:type="gramEnd"/>
      <w:r w:rsidRPr="00BE1E88">
        <w:rPr>
          <w:rFonts w:asciiTheme="minorHAnsi" w:hAnsiTheme="minorHAnsi"/>
          <w:sz w:val="22"/>
          <w:szCs w:val="22"/>
          <w:lang w:val="en-US"/>
        </w:rPr>
        <w:t>-C, chains are C-C. With the help of Wade’s ionic model, I have also found that increasing the carbon concentr</w:t>
      </w:r>
      <w:r w:rsidR="00BE1E88">
        <w:rPr>
          <w:rFonts w:asciiTheme="minorHAnsi" w:hAnsiTheme="minorHAnsi"/>
          <w:sz w:val="22"/>
          <w:szCs w:val="22"/>
          <w:lang w:val="en-US"/>
        </w:rPr>
        <w:t xml:space="preserve">ation in the </w:t>
      </w:r>
      <w:r w:rsidR="00712172">
        <w:rPr>
          <w:rFonts w:asciiTheme="minorHAnsi" w:hAnsiTheme="minorHAnsi"/>
          <w:sz w:val="22"/>
          <w:szCs w:val="22"/>
          <w:lang w:val="en-US"/>
        </w:rPr>
        <w:t>icosahedra</w:t>
      </w:r>
      <w:r w:rsidR="00BE1E88">
        <w:rPr>
          <w:rFonts w:asciiTheme="minorHAnsi" w:hAnsiTheme="minorHAnsi"/>
          <w:sz w:val="22"/>
          <w:szCs w:val="22"/>
          <w:lang w:val="en-US"/>
        </w:rPr>
        <w:t>, (B</w:t>
      </w:r>
      <w:r w:rsidR="00BE1E88" w:rsidRPr="00BE1E88">
        <w:rPr>
          <w:rFonts w:asciiTheme="minorHAnsi" w:hAnsiTheme="minorHAnsi"/>
          <w:sz w:val="22"/>
          <w:szCs w:val="22"/>
          <w:vertAlign w:val="subscript"/>
          <w:lang w:val="en-US"/>
        </w:rPr>
        <w:t>10</w:t>
      </w:r>
      <w:r w:rsidR="00BE1E88">
        <w:rPr>
          <w:rFonts w:asciiTheme="minorHAnsi" w:hAnsiTheme="minorHAnsi"/>
          <w:sz w:val="22"/>
          <w:szCs w:val="22"/>
          <w:lang w:val="en-US"/>
        </w:rPr>
        <w:t>C</w:t>
      </w:r>
      <w:r w:rsidR="00BE1E88" w:rsidRPr="00BE1E88">
        <w:rPr>
          <w:rFonts w:asciiTheme="minorHAnsi" w:hAnsiTheme="minorHAnsi"/>
          <w:sz w:val="22"/>
          <w:szCs w:val="22"/>
          <w:vertAlign w:val="subscript"/>
          <w:lang w:val="en-US"/>
        </w:rPr>
        <w:t>2</w:t>
      </w:r>
      <w:proofErr w:type="gramStart"/>
      <w:r w:rsidRPr="00BE1E88">
        <w:rPr>
          <w:rFonts w:asciiTheme="minorHAnsi" w:hAnsiTheme="minorHAnsi"/>
          <w:sz w:val="22"/>
          <w:szCs w:val="22"/>
          <w:lang w:val="en-US"/>
        </w:rPr>
        <w:t>)C</w:t>
      </w:r>
      <w:proofErr w:type="gramEnd"/>
      <w:r w:rsidRPr="00BE1E88">
        <w:rPr>
          <w:rFonts w:asciiTheme="minorHAnsi" w:hAnsiTheme="minorHAnsi"/>
          <w:sz w:val="22"/>
          <w:szCs w:val="22"/>
          <w:lang w:val="en-US"/>
        </w:rPr>
        <w:t>-C, forms another metastable phase. The concentration in the latter phase, 28.6</w:t>
      </w:r>
      <w:r w:rsidR="00BE1E88">
        <w:rPr>
          <w:rFonts w:asciiTheme="minorHAnsi" w:hAnsiTheme="minorHAnsi"/>
          <w:sz w:val="22"/>
          <w:szCs w:val="22"/>
          <w:lang w:val="en-US"/>
        </w:rPr>
        <w:t xml:space="preserve"> </w:t>
      </w:r>
      <w:r w:rsidRPr="00BE1E88">
        <w:rPr>
          <w:rFonts w:asciiTheme="minorHAnsi" w:hAnsiTheme="minorHAnsi"/>
          <w:sz w:val="22"/>
          <w:szCs w:val="22"/>
          <w:lang w:val="en-US"/>
        </w:rPr>
        <w:t>% carbon concentration, is however outside the domain of concentration were icosahedral phases are known to exist.</w:t>
      </w:r>
    </w:p>
    <w:p w:rsidR="00FE5487" w:rsidRPr="00BE1E88" w:rsidRDefault="00FE5487" w:rsidP="00BE1E88">
      <w:pPr>
        <w:pStyle w:val="Textebrut"/>
        <w:spacing w:before="120" w:after="120"/>
        <w:jc w:val="both"/>
        <w:rPr>
          <w:rFonts w:asciiTheme="minorHAnsi" w:hAnsiTheme="minorHAnsi"/>
          <w:sz w:val="22"/>
          <w:szCs w:val="22"/>
          <w:lang w:val="en-US"/>
        </w:rPr>
      </w:pPr>
      <w:r w:rsidRPr="00BE1E88">
        <w:rPr>
          <w:rFonts w:asciiTheme="minorHAnsi" w:hAnsiTheme="minorHAnsi"/>
          <w:sz w:val="22"/>
          <w:szCs w:val="22"/>
          <w:lang w:val="en-US"/>
        </w:rPr>
        <w:t xml:space="preserve">Once the structures were designed, the second step was to </w:t>
      </w:r>
      <w:r w:rsidR="00BE1E88" w:rsidRPr="00BE1E88">
        <w:rPr>
          <w:rFonts w:asciiTheme="minorHAnsi" w:hAnsiTheme="minorHAnsi"/>
          <w:sz w:val="22"/>
          <w:szCs w:val="22"/>
          <w:lang w:val="en-US"/>
        </w:rPr>
        <w:t>check</w:t>
      </w:r>
      <w:r w:rsidRPr="00BE1E88">
        <w:rPr>
          <w:rFonts w:asciiTheme="minorHAnsi" w:hAnsiTheme="minorHAnsi"/>
          <w:sz w:val="22"/>
          <w:szCs w:val="22"/>
          <w:lang w:val="en-US"/>
        </w:rPr>
        <w:t xml:space="preserve"> their (meta</w:t>
      </w:r>
      <w:proofErr w:type="gramStart"/>
      <w:r w:rsidRPr="00BE1E88">
        <w:rPr>
          <w:rFonts w:asciiTheme="minorHAnsi" w:hAnsiTheme="minorHAnsi"/>
          <w:sz w:val="22"/>
          <w:szCs w:val="22"/>
          <w:lang w:val="en-US"/>
        </w:rPr>
        <w:t>)stability</w:t>
      </w:r>
      <w:proofErr w:type="gramEnd"/>
      <w:r w:rsidRPr="00BE1E88">
        <w:rPr>
          <w:rFonts w:asciiTheme="minorHAnsi" w:hAnsiTheme="minorHAnsi"/>
          <w:sz w:val="22"/>
          <w:szCs w:val="22"/>
          <w:lang w:val="en-US"/>
        </w:rPr>
        <w:t xml:space="preserve">. This required the calculation of their formation energies, their elastic constants and of phonons dispersion curves. The third step was to check mechanical strengthening. To this end, I have shown that these materials are less subject to vacancy formation, and that vacancies can withstand a huge </w:t>
      </w:r>
      <w:r w:rsidR="00BE1E88" w:rsidRPr="00BE1E88">
        <w:rPr>
          <w:rFonts w:asciiTheme="minorHAnsi" w:hAnsiTheme="minorHAnsi"/>
          <w:sz w:val="22"/>
          <w:szCs w:val="22"/>
          <w:lang w:val="en-US"/>
        </w:rPr>
        <w:t>hydrostatic</w:t>
      </w:r>
      <w:r w:rsidRPr="00BE1E88">
        <w:rPr>
          <w:rFonts w:asciiTheme="minorHAnsi" w:hAnsiTheme="minorHAnsi"/>
          <w:sz w:val="22"/>
          <w:szCs w:val="22"/>
          <w:lang w:val="en-US"/>
        </w:rPr>
        <w:t xml:space="preserve"> pressure without a discontinuous change of volume, at variance with vacancies in B</w:t>
      </w:r>
      <w:r w:rsidRPr="00D33B81">
        <w:rPr>
          <w:rFonts w:asciiTheme="minorHAnsi" w:hAnsiTheme="minorHAnsi"/>
          <w:sz w:val="22"/>
          <w:szCs w:val="22"/>
          <w:vertAlign w:val="subscript"/>
          <w:lang w:val="en-US"/>
        </w:rPr>
        <w:t>4</w:t>
      </w:r>
      <w:r w:rsidRPr="00BE1E88">
        <w:rPr>
          <w:rFonts w:asciiTheme="minorHAnsi" w:hAnsiTheme="minorHAnsi"/>
          <w:sz w:val="22"/>
          <w:szCs w:val="22"/>
          <w:lang w:val="en-US"/>
        </w:rPr>
        <w:t>C. The calculated elastic properties showed a large increase in the bulk modulus, Young modulus and shear modulus. I have shown that different methods can be used to distinguish materials with C-C chains, especially (B</w:t>
      </w:r>
      <w:r w:rsidRPr="00BE1E88">
        <w:rPr>
          <w:rFonts w:asciiTheme="minorHAnsi" w:hAnsiTheme="minorHAnsi"/>
          <w:sz w:val="22"/>
          <w:szCs w:val="22"/>
          <w:vertAlign w:val="subscript"/>
          <w:lang w:val="en-US"/>
        </w:rPr>
        <w:t>11</w:t>
      </w:r>
      <w:r w:rsidRPr="00BE1E88">
        <w:rPr>
          <w:rFonts w:asciiTheme="minorHAnsi" w:hAnsiTheme="minorHAnsi"/>
          <w:sz w:val="22"/>
          <w:szCs w:val="22"/>
          <w:lang w:val="en-US"/>
        </w:rPr>
        <w:t>C</w:t>
      </w:r>
      <w:r w:rsidRPr="00BE1E88">
        <w:rPr>
          <w:rFonts w:asciiTheme="minorHAnsi" w:hAnsiTheme="minorHAnsi"/>
          <w:sz w:val="22"/>
          <w:szCs w:val="22"/>
          <w:vertAlign w:val="subscript"/>
          <w:lang w:val="en-US"/>
        </w:rPr>
        <w:t>p</w:t>
      </w:r>
      <w:proofErr w:type="gramStart"/>
      <w:r w:rsidRPr="00BE1E88">
        <w:rPr>
          <w:rFonts w:asciiTheme="minorHAnsi" w:hAnsiTheme="minorHAnsi"/>
          <w:sz w:val="22"/>
          <w:szCs w:val="22"/>
          <w:lang w:val="en-US"/>
        </w:rPr>
        <w:t>)C</w:t>
      </w:r>
      <w:proofErr w:type="gramEnd"/>
      <w:r w:rsidRPr="00BE1E88">
        <w:rPr>
          <w:rFonts w:asciiTheme="minorHAnsi" w:hAnsiTheme="minorHAnsi"/>
          <w:sz w:val="22"/>
          <w:szCs w:val="22"/>
          <w:lang w:val="en-US"/>
        </w:rPr>
        <w:t>-C, from B</w:t>
      </w:r>
      <w:r w:rsidRPr="00BE1E88">
        <w:rPr>
          <w:rFonts w:asciiTheme="minorHAnsi" w:hAnsiTheme="minorHAnsi"/>
          <w:sz w:val="22"/>
          <w:szCs w:val="22"/>
          <w:vertAlign w:val="subscript"/>
          <w:lang w:val="en-US"/>
        </w:rPr>
        <w:t>4</w:t>
      </w:r>
      <w:r w:rsidRPr="00BE1E88">
        <w:rPr>
          <w:rFonts w:asciiTheme="minorHAnsi" w:hAnsiTheme="minorHAnsi"/>
          <w:sz w:val="22"/>
          <w:szCs w:val="22"/>
          <w:lang w:val="en-US"/>
        </w:rPr>
        <w:t>C.</w:t>
      </w:r>
    </w:p>
    <w:p w:rsidR="00FE5487" w:rsidRPr="00BE1E88" w:rsidRDefault="00FE5487" w:rsidP="00BE1E88">
      <w:pPr>
        <w:pStyle w:val="Textebrut"/>
        <w:spacing w:before="120" w:after="120"/>
        <w:jc w:val="both"/>
        <w:rPr>
          <w:rFonts w:asciiTheme="minorHAnsi" w:hAnsiTheme="minorHAnsi"/>
          <w:sz w:val="22"/>
          <w:szCs w:val="22"/>
          <w:lang w:val="en-US"/>
        </w:rPr>
      </w:pPr>
      <w:r w:rsidRPr="00BE1E88">
        <w:rPr>
          <w:rFonts w:asciiTheme="minorHAnsi" w:hAnsiTheme="minorHAnsi"/>
          <w:sz w:val="22"/>
          <w:szCs w:val="22"/>
          <w:lang w:val="en-US"/>
        </w:rPr>
        <w:t xml:space="preserve">These methods are the X-ray diffraction, Raman and infrared vibrational spectroscopy. In particular, I have identified all of the modes of </w:t>
      </w:r>
      <w:r w:rsidR="00BE1E88">
        <w:rPr>
          <w:rFonts w:asciiTheme="minorHAnsi" w:hAnsiTheme="minorHAnsi"/>
          <w:sz w:val="22"/>
          <w:szCs w:val="22"/>
          <w:lang w:val="en-US"/>
        </w:rPr>
        <w:t>(B</w:t>
      </w:r>
      <w:r w:rsidR="00BE1E88" w:rsidRPr="00D33B81">
        <w:rPr>
          <w:rFonts w:asciiTheme="minorHAnsi" w:hAnsiTheme="minorHAnsi"/>
          <w:sz w:val="22"/>
          <w:szCs w:val="22"/>
          <w:vertAlign w:val="subscript"/>
          <w:lang w:val="en-US"/>
        </w:rPr>
        <w:t>11</w:t>
      </w:r>
      <w:r w:rsidR="00BE1E88">
        <w:rPr>
          <w:rFonts w:asciiTheme="minorHAnsi" w:hAnsiTheme="minorHAnsi"/>
          <w:sz w:val="22"/>
          <w:szCs w:val="22"/>
          <w:lang w:val="en-US"/>
        </w:rPr>
        <w:t>C</w:t>
      </w:r>
      <w:r w:rsidR="00BE1E88" w:rsidRPr="00D33B81">
        <w:rPr>
          <w:rFonts w:asciiTheme="minorHAnsi" w:hAnsiTheme="minorHAnsi"/>
          <w:sz w:val="22"/>
          <w:szCs w:val="22"/>
          <w:vertAlign w:val="subscript"/>
          <w:lang w:val="en-US"/>
        </w:rPr>
        <w:t>p</w:t>
      </w:r>
      <w:proofErr w:type="gramStart"/>
      <w:r w:rsidRPr="00BE1E88">
        <w:rPr>
          <w:rFonts w:asciiTheme="minorHAnsi" w:hAnsiTheme="minorHAnsi"/>
          <w:sz w:val="22"/>
          <w:szCs w:val="22"/>
          <w:lang w:val="en-US"/>
        </w:rPr>
        <w:t>)C</w:t>
      </w:r>
      <w:proofErr w:type="gramEnd"/>
      <w:r w:rsidRPr="00BE1E88">
        <w:rPr>
          <w:rFonts w:asciiTheme="minorHAnsi" w:hAnsiTheme="minorHAnsi"/>
          <w:sz w:val="22"/>
          <w:szCs w:val="22"/>
          <w:lang w:val="en-US"/>
        </w:rPr>
        <w:t>-C by projecting their eigenvectors onto those of B</w:t>
      </w:r>
      <w:r w:rsidRPr="00BE1E88">
        <w:rPr>
          <w:rFonts w:asciiTheme="minorHAnsi" w:hAnsiTheme="minorHAnsi"/>
          <w:sz w:val="22"/>
          <w:szCs w:val="22"/>
          <w:vertAlign w:val="subscript"/>
          <w:lang w:val="en-US"/>
        </w:rPr>
        <w:t>4</w:t>
      </w:r>
      <w:r w:rsidRPr="00BE1E88">
        <w:rPr>
          <w:rFonts w:asciiTheme="minorHAnsi" w:hAnsiTheme="minorHAnsi"/>
          <w:sz w:val="22"/>
          <w:szCs w:val="22"/>
          <w:lang w:val="en-US"/>
        </w:rPr>
        <w:t>C and I have calculated their Raman scattering spectrum in a polycrystalline av</w:t>
      </w:r>
      <w:r w:rsidR="00BE1E88">
        <w:rPr>
          <w:rFonts w:asciiTheme="minorHAnsi" w:hAnsiTheme="minorHAnsi"/>
          <w:sz w:val="22"/>
          <w:szCs w:val="22"/>
          <w:lang w:val="en-US"/>
        </w:rPr>
        <w:t xml:space="preserve">erage. I have also studied the </w:t>
      </w:r>
      <w:r w:rsidRPr="00BE1E88">
        <w:rPr>
          <w:rFonts w:asciiTheme="minorHAnsi" w:hAnsiTheme="minorHAnsi"/>
          <w:sz w:val="22"/>
          <w:szCs w:val="22"/>
          <w:lang w:val="en-US"/>
        </w:rPr>
        <w:t>Raman spectrum of B</w:t>
      </w:r>
      <w:r w:rsidRPr="00D33B81">
        <w:rPr>
          <w:rFonts w:asciiTheme="minorHAnsi" w:hAnsiTheme="minorHAnsi"/>
          <w:sz w:val="22"/>
          <w:szCs w:val="22"/>
          <w:vertAlign w:val="subscript"/>
          <w:lang w:val="en-US"/>
        </w:rPr>
        <w:t>4</w:t>
      </w:r>
      <w:r w:rsidRPr="00BE1E88">
        <w:rPr>
          <w:rFonts w:asciiTheme="minorHAnsi" w:hAnsiTheme="minorHAnsi"/>
          <w:sz w:val="22"/>
          <w:szCs w:val="22"/>
          <w:lang w:val="en-US"/>
        </w:rPr>
        <w:t xml:space="preserve">C under pressure, and the results are in excellent agreement with experiment. This enables me to confirm the mode identifications made at </w:t>
      </w:r>
      <w:r w:rsidR="00BE1E88" w:rsidRPr="00BE1E88">
        <w:rPr>
          <w:rFonts w:asciiTheme="minorHAnsi" w:hAnsiTheme="minorHAnsi"/>
          <w:sz w:val="22"/>
          <w:szCs w:val="22"/>
          <w:lang w:val="en-US"/>
        </w:rPr>
        <w:t>ambient</w:t>
      </w:r>
      <w:r w:rsidRPr="00BE1E88">
        <w:rPr>
          <w:rFonts w:asciiTheme="minorHAnsi" w:hAnsiTheme="minorHAnsi"/>
          <w:sz w:val="22"/>
          <w:szCs w:val="22"/>
          <w:lang w:val="en-US"/>
        </w:rPr>
        <w:t xml:space="preserve"> pressure and to understand the difference between </w:t>
      </w:r>
      <w:r w:rsidR="00BE1E88" w:rsidRPr="00BE1E88">
        <w:rPr>
          <w:rFonts w:asciiTheme="minorHAnsi" w:hAnsiTheme="minorHAnsi"/>
          <w:sz w:val="22"/>
          <w:szCs w:val="22"/>
          <w:lang w:val="en-US"/>
        </w:rPr>
        <w:t>calculations</w:t>
      </w:r>
      <w:r w:rsidRPr="00BE1E88">
        <w:rPr>
          <w:rFonts w:asciiTheme="minorHAnsi" w:hAnsiTheme="minorHAnsi"/>
          <w:sz w:val="22"/>
          <w:szCs w:val="22"/>
          <w:lang w:val="en-US"/>
        </w:rPr>
        <w:t xml:space="preserve"> in a monoclinic symmetry and the experimental data which exhibit a </w:t>
      </w:r>
      <w:proofErr w:type="spellStart"/>
      <w:r w:rsidRPr="00BE1E88">
        <w:rPr>
          <w:rFonts w:asciiTheme="minorHAnsi" w:hAnsiTheme="minorHAnsi"/>
          <w:sz w:val="22"/>
          <w:szCs w:val="22"/>
          <w:lang w:val="en-US"/>
        </w:rPr>
        <w:t>rhombohedral</w:t>
      </w:r>
      <w:proofErr w:type="spellEnd"/>
      <w:r w:rsidRPr="00BE1E88">
        <w:rPr>
          <w:rFonts w:asciiTheme="minorHAnsi" w:hAnsiTheme="minorHAnsi"/>
          <w:sz w:val="22"/>
          <w:szCs w:val="22"/>
          <w:lang w:val="en-US"/>
        </w:rPr>
        <w:t xml:space="preserve"> average. In order to provide a method of synthesis, I then studied the phase transition that can occur under pressure betw</w:t>
      </w:r>
      <w:r w:rsidR="00BE1E88">
        <w:rPr>
          <w:rFonts w:asciiTheme="minorHAnsi" w:hAnsiTheme="minorHAnsi"/>
          <w:sz w:val="22"/>
          <w:szCs w:val="22"/>
          <w:lang w:val="en-US"/>
        </w:rPr>
        <w:t>een the material (B</w:t>
      </w:r>
      <w:r w:rsidR="00BE1E88" w:rsidRPr="00D33B81">
        <w:rPr>
          <w:rFonts w:asciiTheme="minorHAnsi" w:hAnsiTheme="minorHAnsi"/>
          <w:sz w:val="22"/>
          <w:szCs w:val="22"/>
          <w:vertAlign w:val="subscript"/>
          <w:lang w:val="en-US"/>
        </w:rPr>
        <w:t>11</w:t>
      </w:r>
      <w:r w:rsidR="00BE1E88">
        <w:rPr>
          <w:rFonts w:asciiTheme="minorHAnsi" w:hAnsiTheme="minorHAnsi"/>
          <w:sz w:val="22"/>
          <w:szCs w:val="22"/>
          <w:lang w:val="en-US"/>
        </w:rPr>
        <w:t>C</w:t>
      </w:r>
      <w:r w:rsidR="00BE1E88" w:rsidRPr="00D33B81">
        <w:rPr>
          <w:rFonts w:asciiTheme="minorHAnsi" w:hAnsiTheme="minorHAnsi"/>
          <w:sz w:val="22"/>
          <w:szCs w:val="22"/>
          <w:vertAlign w:val="subscript"/>
          <w:lang w:val="en-US"/>
        </w:rPr>
        <w:t>p</w:t>
      </w:r>
      <w:proofErr w:type="gramStart"/>
      <w:r w:rsidR="00712172">
        <w:rPr>
          <w:rFonts w:asciiTheme="minorHAnsi" w:hAnsiTheme="minorHAnsi"/>
          <w:sz w:val="22"/>
          <w:szCs w:val="22"/>
          <w:lang w:val="en-US"/>
        </w:rPr>
        <w:t>)CV</w:t>
      </w:r>
      <w:r w:rsidR="00BE1E88">
        <w:rPr>
          <w:rFonts w:asciiTheme="minorHAnsi" w:hAnsiTheme="minorHAnsi"/>
          <w:sz w:val="22"/>
          <w:szCs w:val="22"/>
          <w:lang w:val="en-US"/>
        </w:rPr>
        <w:t>C</w:t>
      </w:r>
      <w:proofErr w:type="gramEnd"/>
      <w:r w:rsidR="00BE1E88">
        <w:rPr>
          <w:rFonts w:asciiTheme="minorHAnsi" w:hAnsiTheme="minorHAnsi"/>
          <w:sz w:val="22"/>
          <w:szCs w:val="22"/>
          <w:lang w:val="en-US"/>
        </w:rPr>
        <w:t xml:space="preserve"> (</w:t>
      </w:r>
      <w:r w:rsidR="00712172">
        <w:rPr>
          <w:rFonts w:asciiTheme="minorHAnsi" w:hAnsiTheme="minorHAnsi"/>
          <w:sz w:val="22"/>
          <w:szCs w:val="22"/>
          <w:lang w:val="en-US"/>
        </w:rPr>
        <w:t xml:space="preserve">where V </w:t>
      </w:r>
      <w:r w:rsidRPr="00BE1E88">
        <w:rPr>
          <w:rFonts w:asciiTheme="minorHAnsi" w:hAnsiTheme="minorHAnsi"/>
          <w:sz w:val="22"/>
          <w:szCs w:val="22"/>
          <w:lang w:val="en-US"/>
        </w:rPr>
        <w:t>represents a</w:t>
      </w:r>
      <w:r w:rsidR="00BE1E88">
        <w:rPr>
          <w:rFonts w:asciiTheme="minorHAnsi" w:hAnsiTheme="minorHAnsi"/>
          <w:sz w:val="22"/>
          <w:szCs w:val="22"/>
          <w:lang w:val="en-US"/>
        </w:rPr>
        <w:t xml:space="preserve"> </w:t>
      </w:r>
      <w:r w:rsidRPr="00BE1E88">
        <w:rPr>
          <w:rFonts w:asciiTheme="minorHAnsi" w:hAnsiTheme="minorHAnsi"/>
          <w:sz w:val="22"/>
          <w:szCs w:val="22"/>
          <w:lang w:val="en-US"/>
        </w:rPr>
        <w:t>vacancy) and the material (B</w:t>
      </w:r>
      <w:r w:rsidRPr="00D33B81">
        <w:rPr>
          <w:rFonts w:asciiTheme="minorHAnsi" w:hAnsiTheme="minorHAnsi"/>
          <w:sz w:val="22"/>
          <w:szCs w:val="22"/>
          <w:vertAlign w:val="subscript"/>
          <w:lang w:val="en-US"/>
        </w:rPr>
        <w:t>11</w:t>
      </w:r>
      <w:r w:rsidRPr="00BE1E88">
        <w:rPr>
          <w:rFonts w:asciiTheme="minorHAnsi" w:hAnsiTheme="minorHAnsi"/>
          <w:sz w:val="22"/>
          <w:szCs w:val="22"/>
          <w:lang w:val="en-US"/>
        </w:rPr>
        <w:t>C</w:t>
      </w:r>
      <w:r w:rsidRPr="00D33B81">
        <w:rPr>
          <w:rFonts w:asciiTheme="minorHAnsi" w:hAnsiTheme="minorHAnsi"/>
          <w:sz w:val="22"/>
          <w:szCs w:val="22"/>
          <w:vertAlign w:val="subscript"/>
          <w:lang w:val="en-US"/>
        </w:rPr>
        <w:t>p</w:t>
      </w:r>
      <w:r w:rsidRPr="00BE1E88">
        <w:rPr>
          <w:rFonts w:asciiTheme="minorHAnsi" w:hAnsiTheme="minorHAnsi"/>
          <w:sz w:val="22"/>
          <w:szCs w:val="22"/>
          <w:lang w:val="en-US"/>
        </w:rPr>
        <w:t xml:space="preserve">)C-C. A synthesis method has been elaborated in order to synthesize this last material. This method is </w:t>
      </w:r>
      <w:proofErr w:type="spellStart"/>
      <w:r w:rsidRPr="00BE1E88">
        <w:rPr>
          <w:rFonts w:asciiTheme="minorHAnsi" w:hAnsiTheme="minorHAnsi"/>
          <w:sz w:val="22"/>
          <w:szCs w:val="22"/>
          <w:lang w:val="en-US"/>
        </w:rPr>
        <w:t>magnesiothermic</w:t>
      </w:r>
      <w:proofErr w:type="spellEnd"/>
      <w:r w:rsidRPr="00BE1E88">
        <w:rPr>
          <w:rFonts w:asciiTheme="minorHAnsi" w:hAnsiTheme="minorHAnsi"/>
          <w:sz w:val="22"/>
          <w:szCs w:val="22"/>
          <w:lang w:val="en-US"/>
        </w:rPr>
        <w:t xml:space="preserve"> reaction under high pressure.</w:t>
      </w:r>
    </w:p>
    <w:sectPr w:rsidR="00FE5487" w:rsidRPr="00BE1E88" w:rsidSect="00BB72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83" w:rsidRDefault="009C1683" w:rsidP="00E223C3">
      <w:pPr>
        <w:spacing w:after="0" w:line="240" w:lineRule="auto"/>
      </w:pPr>
      <w:r>
        <w:separator/>
      </w:r>
    </w:p>
  </w:endnote>
  <w:endnote w:type="continuationSeparator" w:id="0">
    <w:p w:rsidR="009C1683" w:rsidRDefault="009C1683" w:rsidP="00E2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FKYEI+FranklinGothic-Book">
    <w:altName w:val="Franklin Gothic"/>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Consolas">
    <w:panose1 w:val="020B0609020204030204"/>
    <w:charset w:val="00"/>
    <w:family w:val="modern"/>
    <w:pitch w:val="fixed"/>
    <w:sig w:usb0="E10002FF" w:usb1="4000FCFF" w:usb2="00000009" w:usb3="00000000" w:csb0="0000019F" w:csb1="00000000"/>
  </w:font>
  <w:font w:name="AHIFOA+CalistoMT">
    <w:altName w:val="Calisto"/>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83" w:rsidRDefault="009C1683" w:rsidP="00E223C3">
      <w:pPr>
        <w:spacing w:after="0" w:line="240" w:lineRule="auto"/>
      </w:pPr>
      <w:r>
        <w:separator/>
      </w:r>
    </w:p>
  </w:footnote>
  <w:footnote w:type="continuationSeparator" w:id="0">
    <w:p w:rsidR="009C1683" w:rsidRDefault="009C1683" w:rsidP="00E2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12" w:type="dxa"/>
      <w:tblLook w:val="01E0" w:firstRow="1" w:lastRow="1" w:firstColumn="1" w:lastColumn="1" w:noHBand="0" w:noVBand="0"/>
    </w:tblPr>
    <w:tblGrid>
      <w:gridCol w:w="1416"/>
      <w:gridCol w:w="3655"/>
      <w:gridCol w:w="3356"/>
      <w:gridCol w:w="1755"/>
    </w:tblGrid>
    <w:tr w:rsidR="00E223C3" w:rsidTr="00EF123E">
      <w:trPr>
        <w:trHeight w:val="903"/>
      </w:trPr>
      <w:tc>
        <w:tcPr>
          <w:tcW w:w="0" w:type="auto"/>
          <w:tcFitText/>
        </w:tcPr>
        <w:p w:rsidR="00E223C3" w:rsidRDefault="00E223C3" w:rsidP="00EF123E">
          <w:pPr>
            <w:pStyle w:val="En-tte"/>
            <w:jc w:val="center"/>
            <w:rPr>
              <w:rFonts w:ascii="Footlight MT Light" w:hAnsi="Footlight MT Light"/>
              <w:b/>
              <w:sz w:val="48"/>
              <w:szCs w:val="48"/>
            </w:rPr>
          </w:pPr>
          <w:r w:rsidRPr="001A4DB0">
            <w:rPr>
              <w:rFonts w:ascii="Footlight MT Light" w:hAnsi="Footlight MT Light"/>
              <w:b/>
              <w:noProof/>
              <w:sz w:val="48"/>
              <w:szCs w:val="48"/>
              <w:lang w:eastAsia="fr-FR"/>
            </w:rPr>
            <w:drawing>
              <wp:inline distT="0" distB="0" distL="0" distR="0" wp14:anchorId="3176EFB5" wp14:editId="3AD6AE3F">
                <wp:extent cx="736600" cy="558800"/>
                <wp:effectExtent l="19050" t="0" r="6350" b="0"/>
                <wp:docPr id="1" name="Image 1" descr="LSI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 Logo 2008"/>
                        <pic:cNvPicPr>
                          <a:picLocks noChangeAspect="1" noChangeArrowheads="1"/>
                        </pic:cNvPicPr>
                      </pic:nvPicPr>
                      <pic:blipFill>
                        <a:blip r:embed="rId1"/>
                        <a:srcRect/>
                        <a:stretch>
                          <a:fillRect/>
                        </a:stretch>
                      </pic:blipFill>
                      <pic:spPr bwMode="auto">
                        <a:xfrm>
                          <a:off x="0" y="0"/>
                          <a:ext cx="736600" cy="558800"/>
                        </a:xfrm>
                        <a:prstGeom prst="rect">
                          <a:avLst/>
                        </a:prstGeom>
                        <a:noFill/>
                        <a:ln w="9525">
                          <a:noFill/>
                          <a:miter lim="800000"/>
                          <a:headEnd/>
                          <a:tailEnd/>
                        </a:ln>
                      </pic:spPr>
                    </pic:pic>
                  </a:graphicData>
                </a:graphic>
              </wp:inline>
            </w:drawing>
          </w:r>
        </w:p>
      </w:tc>
      <w:tc>
        <w:tcPr>
          <w:tcW w:w="0" w:type="auto"/>
          <w:gridSpan w:val="2"/>
          <w:tcFitText/>
        </w:tcPr>
        <w:p w:rsidR="00E223C3" w:rsidRPr="001A4DB0" w:rsidRDefault="00E223C3" w:rsidP="00EF123E">
          <w:pPr>
            <w:pStyle w:val="En-tte"/>
            <w:spacing w:before="240"/>
            <w:rPr>
              <w:rFonts w:ascii="Franklin Gothic Book" w:hAnsi="Franklin Gothic Book"/>
              <w:b/>
              <w:color w:val="006699"/>
              <w:sz w:val="36"/>
              <w:szCs w:val="36"/>
              <w:u w:val="single"/>
            </w:rPr>
          </w:pPr>
          <w:r w:rsidRPr="001A4DB0">
            <w:rPr>
              <w:rFonts w:ascii="Franklin Gothic Book" w:hAnsi="Franklin Gothic Book"/>
              <w:b/>
              <w:color w:val="006699"/>
              <w:w w:val="98"/>
              <w:sz w:val="40"/>
              <w:szCs w:val="40"/>
            </w:rPr>
            <w:t xml:space="preserve"> </w:t>
          </w:r>
          <w:r w:rsidRPr="001A4DB0">
            <w:rPr>
              <w:rFonts w:ascii="Franklin Gothic Book" w:hAnsi="Franklin Gothic Book"/>
              <w:color w:val="006699"/>
              <w:w w:val="98"/>
              <w:sz w:val="36"/>
              <w:szCs w:val="36"/>
              <w:u w:val="single"/>
            </w:rPr>
            <w:t>Laboratoire des Solides Irradiés,</w:t>
          </w:r>
          <w:r w:rsidRPr="001A4DB0">
            <w:rPr>
              <w:rFonts w:ascii="Franklin Gothic Book" w:hAnsi="Franklin Gothic Book"/>
              <w:b/>
              <w:color w:val="006699"/>
              <w:w w:val="98"/>
              <w:sz w:val="36"/>
              <w:szCs w:val="36"/>
              <w:u w:val="single"/>
            </w:rPr>
            <w:t xml:space="preserve"> </w:t>
          </w:r>
          <w:r w:rsidRPr="001A4DB0">
            <w:rPr>
              <w:rFonts w:ascii="Franklin Gothic Book" w:hAnsi="Franklin Gothic Book"/>
              <w:color w:val="006699"/>
              <w:w w:val="98"/>
              <w:sz w:val="36"/>
              <w:szCs w:val="36"/>
              <w:u w:val="single"/>
            </w:rPr>
            <w:t>UMR 7642</w:t>
          </w:r>
          <w:r w:rsidRPr="001A4DB0">
            <w:rPr>
              <w:rFonts w:ascii="Franklin Gothic Book" w:hAnsi="Franklin Gothic Book"/>
              <w:color w:val="006699"/>
              <w:spacing w:val="8"/>
              <w:w w:val="98"/>
              <w:sz w:val="36"/>
              <w:szCs w:val="36"/>
              <w:u w:val="single"/>
            </w:rPr>
            <w:t xml:space="preserve"> </w:t>
          </w:r>
        </w:p>
      </w:tc>
      <w:tc>
        <w:tcPr>
          <w:tcW w:w="0" w:type="auto"/>
          <w:tcFitText/>
        </w:tcPr>
        <w:p w:rsidR="00E223C3" w:rsidRDefault="000D3647" w:rsidP="00EF123E">
          <w:pPr>
            <w:pStyle w:val="En-tte"/>
            <w:ind w:right="252" w:hanging="120"/>
            <w:jc w:val="center"/>
            <w:rPr>
              <w:rFonts w:ascii="Franklin Gothic Book" w:hAnsi="Franklin Gothic Book"/>
              <w:b/>
              <w:color w:val="006699"/>
              <w:sz w:val="16"/>
              <w:szCs w:val="44"/>
            </w:rPr>
          </w:pPr>
          <w:r w:rsidRPr="000D3647">
            <w:rPr>
              <w:noProof/>
              <w:lang w:eastAsia="fr-FR"/>
            </w:rPr>
            <w:drawing>
              <wp:anchor distT="0" distB="0" distL="114300" distR="114300" simplePos="0" relativeHeight="251659264" behindDoc="1" locked="1" layoutInCell="1" allowOverlap="1" wp14:anchorId="58E78944" wp14:editId="4589E280">
                <wp:simplePos x="0" y="0"/>
                <wp:positionH relativeFrom="page">
                  <wp:posOffset>311785</wp:posOffset>
                </wp:positionH>
                <wp:positionV relativeFrom="page">
                  <wp:posOffset>-156210</wp:posOffset>
                </wp:positionV>
                <wp:extent cx="772160" cy="1064260"/>
                <wp:effectExtent l="19050" t="0" r="889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X.jpg"/>
                        <pic:cNvPicPr>
                          <a:picLocks noChangeAspect="1" noChangeArrowheads="1"/>
                        </pic:cNvPicPr>
                      </pic:nvPicPr>
                      <pic:blipFill>
                        <a:blip r:embed="rId2"/>
                        <a:srcRect/>
                        <a:stretch>
                          <a:fillRect/>
                        </a:stretch>
                      </pic:blipFill>
                      <pic:spPr bwMode="auto">
                        <a:xfrm>
                          <a:off x="0" y="0"/>
                          <a:ext cx="772160" cy="1064260"/>
                        </a:xfrm>
                        <a:prstGeom prst="rect">
                          <a:avLst/>
                        </a:prstGeom>
                        <a:noFill/>
                        <a:ln w="9525">
                          <a:noFill/>
                          <a:miter lim="800000"/>
                          <a:headEnd/>
                          <a:tailEnd/>
                        </a:ln>
                      </pic:spPr>
                    </pic:pic>
                  </a:graphicData>
                </a:graphic>
              </wp:anchor>
            </w:drawing>
          </w:r>
        </w:p>
      </w:tc>
    </w:tr>
    <w:tr w:rsidR="00E223C3" w:rsidTr="00EF123E">
      <w:trPr>
        <w:trHeight w:val="891"/>
      </w:trPr>
      <w:tc>
        <w:tcPr>
          <w:tcW w:w="0" w:type="auto"/>
          <w:tcFitText/>
        </w:tcPr>
        <w:p w:rsidR="00E223C3" w:rsidRDefault="00E223C3" w:rsidP="00EF123E">
          <w:pPr>
            <w:pStyle w:val="En-tte"/>
            <w:rPr>
              <w:rFonts w:ascii="Footlight MT Light" w:hAnsi="Footlight MT Light"/>
              <w:b/>
              <w:sz w:val="16"/>
              <w:szCs w:val="48"/>
            </w:rPr>
          </w:pPr>
        </w:p>
      </w:tc>
      <w:tc>
        <w:tcPr>
          <w:tcW w:w="0" w:type="auto"/>
          <w:tcFitText/>
        </w:tcPr>
        <w:p w:rsidR="00E223C3" w:rsidRDefault="00E223C3" w:rsidP="00EF123E">
          <w:pPr>
            <w:pStyle w:val="En-tte"/>
            <w:jc w:val="center"/>
            <w:rPr>
              <w:rFonts w:ascii="Franklin Gothic Book" w:hAnsi="Franklin Gothic Book"/>
              <w:b/>
              <w:color w:val="006699"/>
              <w:sz w:val="40"/>
              <w:szCs w:val="40"/>
            </w:rPr>
          </w:pPr>
          <w:r w:rsidRPr="001A4DB0">
            <w:rPr>
              <w:rFonts w:ascii="Franklin Gothic Book" w:hAnsi="Franklin Gothic Book"/>
              <w:b/>
              <w:noProof/>
              <w:color w:val="006699"/>
              <w:sz w:val="40"/>
              <w:szCs w:val="40"/>
              <w:lang w:eastAsia="fr-FR"/>
            </w:rPr>
            <w:drawing>
              <wp:inline distT="0" distB="0" distL="0" distR="0" wp14:anchorId="55C31873" wp14:editId="388DC659">
                <wp:extent cx="615950" cy="520700"/>
                <wp:effectExtent l="19050" t="0" r="0" b="0"/>
                <wp:docPr id="3" name="Image 3" descr="CEA IRA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A IRAMIS"/>
                        <pic:cNvPicPr>
                          <a:picLocks noChangeAspect="1" noChangeArrowheads="1"/>
                        </pic:cNvPicPr>
                      </pic:nvPicPr>
                      <pic:blipFill>
                        <a:blip r:embed="rId3"/>
                        <a:srcRect/>
                        <a:stretch>
                          <a:fillRect/>
                        </a:stretch>
                      </pic:blipFill>
                      <pic:spPr bwMode="auto">
                        <a:xfrm>
                          <a:off x="0" y="0"/>
                          <a:ext cx="615950" cy="520700"/>
                        </a:xfrm>
                        <a:prstGeom prst="rect">
                          <a:avLst/>
                        </a:prstGeom>
                        <a:noFill/>
                        <a:ln w="9525">
                          <a:noFill/>
                          <a:miter lim="800000"/>
                          <a:headEnd/>
                          <a:tailEnd/>
                        </a:ln>
                      </pic:spPr>
                    </pic:pic>
                  </a:graphicData>
                </a:graphic>
              </wp:inline>
            </w:drawing>
          </w:r>
        </w:p>
      </w:tc>
      <w:tc>
        <w:tcPr>
          <w:tcW w:w="0" w:type="auto"/>
          <w:tcFitText/>
        </w:tcPr>
        <w:p w:rsidR="00E223C3" w:rsidRDefault="00E223C3" w:rsidP="00EF123E">
          <w:pPr>
            <w:pStyle w:val="En-tte"/>
            <w:jc w:val="center"/>
            <w:rPr>
              <w:rFonts w:ascii="Franklin Gothic Book" w:hAnsi="Franklin Gothic Book"/>
              <w:b/>
              <w:color w:val="006699"/>
              <w:sz w:val="40"/>
              <w:szCs w:val="40"/>
            </w:rPr>
          </w:pPr>
          <w:r w:rsidRPr="001A4DB0">
            <w:rPr>
              <w:rFonts w:ascii="Franklin Gothic Book" w:hAnsi="Franklin Gothic Book"/>
              <w:b/>
              <w:noProof/>
              <w:color w:val="006699"/>
              <w:sz w:val="40"/>
              <w:szCs w:val="40"/>
              <w:lang w:eastAsia="fr-FR"/>
            </w:rPr>
            <w:drawing>
              <wp:inline distT="0" distB="0" distL="0" distR="0" wp14:anchorId="31FF249E" wp14:editId="242C8489">
                <wp:extent cx="552450" cy="552450"/>
                <wp:effectExtent l="19050" t="0" r="0" b="0"/>
                <wp:docPr id="4" name="Image 4" descr="CNRSfr-Bich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RSfr-Bichro-P"/>
                        <pic:cNvPicPr>
                          <a:picLocks noChangeAspect="1" noChangeArrowheads="1"/>
                        </pic:cNvPicPr>
                      </pic:nvPicPr>
                      <pic:blipFill>
                        <a:blip r:embed="rId4"/>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0" w:type="auto"/>
          <w:tcFitText/>
        </w:tcPr>
        <w:p w:rsidR="00E223C3" w:rsidRDefault="00E223C3" w:rsidP="00EF123E">
          <w:pPr>
            <w:pStyle w:val="En-tte"/>
            <w:spacing w:before="120"/>
            <w:rPr>
              <w:rFonts w:ascii="Franklin Gothic Book" w:hAnsi="Franklin Gothic Book"/>
              <w:b/>
              <w:color w:val="006699"/>
              <w:sz w:val="16"/>
              <w:szCs w:val="44"/>
            </w:rPr>
          </w:pPr>
        </w:p>
      </w:tc>
    </w:tr>
  </w:tbl>
  <w:p w:rsidR="00E223C3" w:rsidRDefault="00E223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6E66"/>
    <w:rsid w:val="00026E66"/>
    <w:rsid w:val="000535FA"/>
    <w:rsid w:val="000D3647"/>
    <w:rsid w:val="001020AE"/>
    <w:rsid w:val="001E1B6B"/>
    <w:rsid w:val="003D4A4A"/>
    <w:rsid w:val="00712172"/>
    <w:rsid w:val="008A211C"/>
    <w:rsid w:val="008E3964"/>
    <w:rsid w:val="0094164E"/>
    <w:rsid w:val="009C1683"/>
    <w:rsid w:val="00B93554"/>
    <w:rsid w:val="00BB7246"/>
    <w:rsid w:val="00BE1AE7"/>
    <w:rsid w:val="00BE1E88"/>
    <w:rsid w:val="00C152AD"/>
    <w:rsid w:val="00CB5195"/>
    <w:rsid w:val="00CF7F18"/>
    <w:rsid w:val="00D33B81"/>
    <w:rsid w:val="00E223C3"/>
    <w:rsid w:val="00E31682"/>
    <w:rsid w:val="00EB32C9"/>
    <w:rsid w:val="00F13140"/>
    <w:rsid w:val="00FE5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E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E66"/>
    <w:rPr>
      <w:rFonts w:ascii="Tahoma" w:hAnsi="Tahoma" w:cs="Tahoma"/>
      <w:sz w:val="16"/>
      <w:szCs w:val="16"/>
    </w:rPr>
  </w:style>
  <w:style w:type="paragraph" w:styleId="En-tte">
    <w:name w:val="header"/>
    <w:basedOn w:val="Normal"/>
    <w:link w:val="En-tteCar"/>
    <w:unhideWhenUsed/>
    <w:rsid w:val="00E223C3"/>
    <w:pPr>
      <w:tabs>
        <w:tab w:val="center" w:pos="4536"/>
        <w:tab w:val="right" w:pos="9072"/>
      </w:tabs>
      <w:spacing w:after="0" w:line="240" w:lineRule="auto"/>
    </w:pPr>
  </w:style>
  <w:style w:type="character" w:customStyle="1" w:styleId="En-tteCar">
    <w:name w:val="En-tête Car"/>
    <w:basedOn w:val="Policepardfaut"/>
    <w:link w:val="En-tte"/>
    <w:rsid w:val="00E223C3"/>
  </w:style>
  <w:style w:type="paragraph" w:styleId="Pieddepage">
    <w:name w:val="footer"/>
    <w:basedOn w:val="Normal"/>
    <w:link w:val="PieddepageCar"/>
    <w:uiPriority w:val="99"/>
    <w:semiHidden/>
    <w:unhideWhenUsed/>
    <w:rsid w:val="00E223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23C3"/>
  </w:style>
  <w:style w:type="paragraph" w:customStyle="1" w:styleId="Default">
    <w:name w:val="Default"/>
    <w:rsid w:val="00E223C3"/>
    <w:pPr>
      <w:widowControl w:val="0"/>
      <w:autoSpaceDE w:val="0"/>
      <w:autoSpaceDN w:val="0"/>
      <w:adjustRightInd w:val="0"/>
      <w:spacing w:after="0" w:line="240" w:lineRule="auto"/>
    </w:pPr>
    <w:rPr>
      <w:rFonts w:ascii="KFKYEI+FranklinGothic-Book" w:eastAsiaTheme="minorEastAsia" w:hAnsi="KFKYEI+FranklinGothic-Book" w:cs="KFKYEI+FranklinGothic-Book"/>
      <w:color w:val="000000"/>
      <w:sz w:val="24"/>
      <w:szCs w:val="24"/>
      <w:lang w:eastAsia="fr-FR"/>
    </w:rPr>
  </w:style>
  <w:style w:type="paragraph" w:customStyle="1" w:styleId="CM1">
    <w:name w:val="CM1"/>
    <w:basedOn w:val="Default"/>
    <w:next w:val="Default"/>
    <w:uiPriority w:val="99"/>
    <w:rsid w:val="00E223C3"/>
    <w:rPr>
      <w:rFonts w:cstheme="minorBidi"/>
      <w:color w:val="auto"/>
    </w:rPr>
  </w:style>
  <w:style w:type="paragraph" w:customStyle="1" w:styleId="CM3">
    <w:name w:val="CM3"/>
    <w:basedOn w:val="Default"/>
    <w:next w:val="Default"/>
    <w:uiPriority w:val="99"/>
    <w:rsid w:val="00E223C3"/>
    <w:rPr>
      <w:rFonts w:cstheme="minorBidi"/>
      <w:color w:val="auto"/>
    </w:rPr>
  </w:style>
  <w:style w:type="paragraph" w:customStyle="1" w:styleId="Standard">
    <w:name w:val="Standard"/>
    <w:rsid w:val="008A21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xtebrut">
    <w:name w:val="Plain Text"/>
    <w:basedOn w:val="Normal"/>
    <w:link w:val="TextebrutCar"/>
    <w:uiPriority w:val="99"/>
    <w:unhideWhenUsed/>
    <w:rsid w:val="00FE548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E548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E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2039">
      <w:bodyDiv w:val="1"/>
      <w:marLeft w:val="0"/>
      <w:marRight w:val="0"/>
      <w:marTop w:val="0"/>
      <w:marBottom w:val="0"/>
      <w:divBdr>
        <w:top w:val="none" w:sz="0" w:space="0" w:color="auto"/>
        <w:left w:val="none" w:sz="0" w:space="0" w:color="auto"/>
        <w:bottom w:val="none" w:sz="0" w:space="0" w:color="auto"/>
        <w:right w:val="none" w:sz="0" w:space="0" w:color="auto"/>
      </w:divBdr>
    </w:div>
    <w:div w:id="618225030">
      <w:bodyDiv w:val="1"/>
      <w:marLeft w:val="0"/>
      <w:marRight w:val="0"/>
      <w:marTop w:val="0"/>
      <w:marBottom w:val="0"/>
      <w:divBdr>
        <w:top w:val="none" w:sz="0" w:space="0" w:color="auto"/>
        <w:left w:val="none" w:sz="0" w:space="0" w:color="auto"/>
        <w:bottom w:val="none" w:sz="0" w:space="0" w:color="auto"/>
        <w:right w:val="none" w:sz="0" w:space="0" w:color="auto"/>
      </w:divBdr>
    </w:div>
    <w:div w:id="641925442">
      <w:bodyDiv w:val="1"/>
      <w:marLeft w:val="0"/>
      <w:marRight w:val="0"/>
      <w:marTop w:val="0"/>
      <w:marBottom w:val="0"/>
      <w:divBdr>
        <w:top w:val="none" w:sz="0" w:space="0" w:color="auto"/>
        <w:left w:val="none" w:sz="0" w:space="0" w:color="auto"/>
        <w:bottom w:val="none" w:sz="0" w:space="0" w:color="auto"/>
        <w:right w:val="none" w:sz="0" w:space="0" w:color="auto"/>
      </w:divBdr>
    </w:div>
    <w:div w:id="19562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BARBIER Luc</cp:lastModifiedBy>
  <cp:revision>4</cp:revision>
  <cp:lastPrinted>2015-03-18T09:39:00Z</cp:lastPrinted>
  <dcterms:created xsi:type="dcterms:W3CDTF">2015-03-18T13:55:00Z</dcterms:created>
  <dcterms:modified xsi:type="dcterms:W3CDTF">2015-03-18T14:02:00Z</dcterms:modified>
</cp:coreProperties>
</file>